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62070E" w:rsidRDefault="002F09E9" w:rsidP="00577E69">
      <w:pPr>
        <w:tabs>
          <w:tab w:val="left" w:pos="1995"/>
        </w:tabs>
        <w:spacing w:after="0" w:line="240" w:lineRule="auto"/>
        <w:rPr>
          <w:rFonts w:ascii="Times New Roman" w:hAnsi="Times New Roman" w:cs="Times New Roman"/>
          <w:b/>
        </w:rPr>
      </w:pPr>
      <w:r>
        <w:rPr>
          <w:rFonts w:ascii="Times New Roman" w:hAnsi="Times New Roman" w:cs="Times New Roman"/>
          <w:b/>
        </w:rPr>
        <w:t>W</w:t>
      </w:r>
      <w:r w:rsidR="00EC1985">
        <w:rPr>
          <w:rFonts w:ascii="Times New Roman" w:hAnsi="Times New Roman" w:cs="Times New Roman"/>
          <w:b/>
        </w:rPr>
        <w:t>ater Column Switch</w:t>
      </w:r>
    </w:p>
    <w:p w:rsidR="006D0C13" w:rsidRPr="00D16584" w:rsidRDefault="00577E69" w:rsidP="00577E69">
      <w:pPr>
        <w:tabs>
          <w:tab w:val="left" w:pos="1995"/>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p>
    <w:p w:rsidR="00065744" w:rsidRDefault="00225619" w:rsidP="009E381E">
      <w:pPr>
        <w:rPr>
          <w:rFonts w:ascii="Times New Roman" w:hAnsi="Times New Roman" w:cs="Times New Roman"/>
          <w:sz w:val="20"/>
          <w:szCs w:val="20"/>
        </w:rPr>
      </w:pPr>
      <w:r w:rsidRPr="00225619">
        <w:rPr>
          <w:rFonts w:ascii="Times New Roman" w:hAnsi="Times New Roman" w:cs="Times New Roman"/>
          <w:sz w:val="20"/>
          <w:szCs w:val="20"/>
        </w:rPr>
        <w:t>UL Listed Water Column Switch shall be furnished and installed above the clapper of each dry pipe valve where indicated on plans and as required by local and national codes and standards.</w:t>
      </w:r>
    </w:p>
    <w:p w:rsidR="0062070E" w:rsidRDefault="00225619" w:rsidP="00065744">
      <w:pPr>
        <w:rPr>
          <w:rFonts w:ascii="Times New Roman" w:hAnsi="Times New Roman" w:cs="Times New Roman"/>
          <w:sz w:val="20"/>
          <w:szCs w:val="20"/>
        </w:rPr>
      </w:pPr>
      <w:r w:rsidRPr="00225619">
        <w:rPr>
          <w:rFonts w:ascii="Times New Roman" w:hAnsi="Times New Roman" w:cs="Times New Roman"/>
          <w:sz w:val="20"/>
          <w:szCs w:val="20"/>
        </w:rPr>
        <w:t>Water column switch shall consist of an electronic probe that protrudes into the piping when the device is installed on the pipe using the brass NPT male threads of the water column switch. The electronic probe is insulated from the brass bushing.</w:t>
      </w:r>
    </w:p>
    <w:p w:rsidR="00225619" w:rsidRDefault="00225619" w:rsidP="0062070E">
      <w:pPr>
        <w:rPr>
          <w:rFonts w:ascii="Times New Roman" w:hAnsi="Times New Roman" w:cs="Times New Roman"/>
          <w:sz w:val="20"/>
          <w:szCs w:val="20"/>
        </w:rPr>
      </w:pPr>
      <w:r w:rsidRPr="00225619">
        <w:rPr>
          <w:rFonts w:ascii="Times New Roman" w:hAnsi="Times New Roman" w:cs="Times New Roman"/>
          <w:sz w:val="20"/>
          <w:szCs w:val="20"/>
        </w:rPr>
        <w:t>When water rises to the level that it is in contact with the probe and bushing it completes the circuit and activates the water column switch. Activation of the water column switch is indicated by the illumination of a yellow LED and the transfer of a SPDT contact rated 10 amps 120 VAC and 2 amps 30 VDC. The water column switch shall contain a green LED to indicate AC power</w:t>
      </w:r>
      <w:r>
        <w:rPr>
          <w:rFonts w:ascii="Times New Roman" w:hAnsi="Times New Roman" w:cs="Times New Roman"/>
          <w:sz w:val="20"/>
          <w:szCs w:val="20"/>
        </w:rPr>
        <w:t>.</w:t>
      </w:r>
    </w:p>
    <w:p w:rsidR="008479E8" w:rsidRPr="00FC53EE" w:rsidRDefault="00225619" w:rsidP="00225619">
      <w:pPr>
        <w:rPr>
          <w:rFonts w:ascii="Times New Roman" w:hAnsi="Times New Roman" w:cs="Times New Roman"/>
          <w:sz w:val="20"/>
          <w:szCs w:val="20"/>
        </w:rPr>
      </w:pPr>
      <w:r w:rsidRPr="00225619">
        <w:rPr>
          <w:rFonts w:ascii="Times New Roman" w:hAnsi="Times New Roman" w:cs="Times New Roman"/>
          <w:sz w:val="20"/>
          <w:szCs w:val="20"/>
        </w:rPr>
        <w:t xml:space="preserve">The </w:t>
      </w:r>
      <w:r>
        <w:rPr>
          <w:rFonts w:ascii="Times New Roman" w:hAnsi="Times New Roman" w:cs="Times New Roman"/>
          <w:sz w:val="20"/>
          <w:szCs w:val="20"/>
        </w:rPr>
        <w:t>W</w:t>
      </w:r>
      <w:r w:rsidRPr="00225619">
        <w:rPr>
          <w:rFonts w:ascii="Times New Roman" w:hAnsi="Times New Roman" w:cs="Times New Roman"/>
          <w:sz w:val="20"/>
          <w:szCs w:val="20"/>
        </w:rPr>
        <w:t xml:space="preserve">ater </w:t>
      </w:r>
      <w:r>
        <w:rPr>
          <w:rFonts w:ascii="Times New Roman" w:hAnsi="Times New Roman" w:cs="Times New Roman"/>
          <w:sz w:val="20"/>
          <w:szCs w:val="20"/>
        </w:rPr>
        <w:t>C</w:t>
      </w:r>
      <w:r w:rsidRPr="00225619">
        <w:rPr>
          <w:rFonts w:ascii="Times New Roman" w:hAnsi="Times New Roman" w:cs="Times New Roman"/>
          <w:sz w:val="20"/>
          <w:szCs w:val="20"/>
        </w:rPr>
        <w:t xml:space="preserve">olumn </w:t>
      </w:r>
      <w:r>
        <w:rPr>
          <w:rFonts w:ascii="Times New Roman" w:hAnsi="Times New Roman" w:cs="Times New Roman"/>
          <w:sz w:val="20"/>
          <w:szCs w:val="20"/>
        </w:rPr>
        <w:t>S</w:t>
      </w:r>
      <w:r w:rsidRPr="00225619">
        <w:rPr>
          <w:rFonts w:ascii="Times New Roman" w:hAnsi="Times New Roman" w:cs="Times New Roman"/>
          <w:sz w:val="20"/>
          <w:szCs w:val="20"/>
        </w:rPr>
        <w:t>witch shall</w:t>
      </w:r>
      <w:r w:rsidR="00CA7224">
        <w:rPr>
          <w:rFonts w:ascii="Times New Roman" w:hAnsi="Times New Roman" w:cs="Times New Roman"/>
          <w:sz w:val="20"/>
          <w:szCs w:val="20"/>
        </w:rPr>
        <w:t xml:space="preserve"> </w:t>
      </w:r>
      <w:r w:rsidR="00CA7224" w:rsidRPr="00AA1224">
        <w:rPr>
          <w:rFonts w:ascii="Times New Roman" w:hAnsi="Times New Roman" w:cs="Times New Roman"/>
          <w:sz w:val="20"/>
          <w:szCs w:val="20"/>
        </w:rPr>
        <w:t xml:space="preserve">contain </w:t>
      </w:r>
      <w:proofErr w:type="gramStart"/>
      <w:r w:rsidR="00CA7224" w:rsidRPr="00AA1224">
        <w:rPr>
          <w:rFonts w:ascii="Times New Roman" w:hAnsi="Times New Roman" w:cs="Times New Roman"/>
          <w:sz w:val="20"/>
          <w:szCs w:val="20"/>
        </w:rPr>
        <w:t xml:space="preserve">a </w:t>
      </w:r>
      <w:r w:rsidRPr="00225619">
        <w:rPr>
          <w:rFonts w:ascii="Times New Roman" w:hAnsi="Times New Roman" w:cs="Times New Roman"/>
          <w:sz w:val="20"/>
          <w:szCs w:val="20"/>
        </w:rPr>
        <w:t>¾” NPT male threads</w:t>
      </w:r>
      <w:proofErr w:type="gramEnd"/>
      <w:r w:rsidRPr="00225619">
        <w:rPr>
          <w:rFonts w:ascii="Times New Roman" w:hAnsi="Times New Roman" w:cs="Times New Roman"/>
          <w:sz w:val="20"/>
          <w:szCs w:val="20"/>
        </w:rPr>
        <w:t xml:space="preserve"> and shall be model WCS as manufactured by Potter Electric Signal Company or equivalent.</w:t>
      </w:r>
    </w:p>
    <w:sectPr w:rsidR="008479E8" w:rsidRPr="00FC53EE" w:rsidSect="002626AC">
      <w:headerReference w:type="even" r:id="rId7"/>
      <w:headerReference w:type="default" r:id="rId8"/>
      <w:footerReference w:type="even" r:id="rId9"/>
      <w:footerReference w:type="default" r:id="rId10"/>
      <w:headerReference w:type="first" r:id="rId11"/>
      <w:footerReference w:type="first" r:id="rId12"/>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F4" w:rsidRDefault="00D127F4" w:rsidP="00FE33FD">
      <w:pPr>
        <w:spacing w:after="0" w:line="240" w:lineRule="auto"/>
      </w:pPr>
      <w:r>
        <w:separator/>
      </w:r>
    </w:p>
  </w:endnote>
  <w:endnote w:type="continuationSeparator" w:id="0">
    <w:p w:rsidR="00D127F4" w:rsidRDefault="00D127F4"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68" w:rsidRDefault="000F30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D127F4" w:rsidRDefault="00CA5D0F"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CA5D0F">
              <w:rPr>
                <w:sz w:val="16"/>
                <w:szCs w:val="16"/>
              </w:rPr>
              <w:pict>
                <v:rect id="_x0000_i1027" style="width:540pt;height:.5pt;mso-position-vertical:absolute" o:hralign="center" o:hrstd="t" o:hrnoshade="t" o:hr="t" fillcolor="red" stroked="f"/>
              </w:pict>
            </w:r>
          </w:p>
          <w:p w:rsidR="00D127F4" w:rsidRDefault="00CA5D0F"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CA5D0F">
              <w:rPr>
                <w:sz w:val="16"/>
                <w:szCs w:val="16"/>
              </w:rPr>
              <w:pict>
                <v:rect id="_x0000_i1028" style="width:540pt;height:.5pt;mso-position-vertical:absolute" o:hralign="center" o:hrstd="t" o:hrnoshade="t" o:hr="t" fillcolor="red" stroked="f"/>
              </w:pict>
            </w:r>
          </w:p>
          <w:p w:rsidR="00D127F4" w:rsidRDefault="00D127F4"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D127F4" w:rsidRDefault="00CA5D0F"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CA5D0F">
              <w:rPr>
                <w:sz w:val="16"/>
                <w:szCs w:val="16"/>
              </w:rPr>
              <w:pict>
                <v:rect id="_x0000_i1029" style="width:540pt;height:.5pt;mso-position-vertical:absolute" o:hralign="center" o:hrstd="t" o:hrnoshade="t" o:hr="t" fillcolor="red" stroked="f"/>
              </w:pict>
            </w:r>
          </w:p>
          <w:p w:rsidR="00D127F4" w:rsidRDefault="00CA5D0F"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CA5D0F">
              <w:rPr>
                <w:sz w:val="16"/>
                <w:szCs w:val="16"/>
              </w:rPr>
              <w:pict>
                <v:rect id="_x0000_i1030" style="width:540pt;height:.5pt" o:hralign="center" o:hrstd="t" o:hrnoshade="t" o:hr="t" fillcolor="red" stroked="f"/>
              </w:pict>
            </w:r>
          </w:p>
          <w:p w:rsidR="00D127F4" w:rsidRPr="001E38D0" w:rsidRDefault="00D127F4"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433402">
              <w:rPr>
                <w:rFonts w:ascii="Times New Roman" w:hAnsi="Times New Roman" w:cs="Times New Roman"/>
                <w:sz w:val="14"/>
                <w:szCs w:val="14"/>
              </w:rPr>
              <w:t>8910665-REV A 12</w:t>
            </w:r>
            <w:r w:rsidRPr="002D7D70">
              <w:rPr>
                <w:rFonts w:ascii="Times New Roman" w:hAnsi="Times New Roman" w:cs="Times New Roman"/>
                <w:sz w:val="14"/>
                <w:szCs w:val="14"/>
              </w:rPr>
              <w:t>/16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CA5D0F"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CA5D0F" w:rsidRPr="001E38D0">
              <w:rPr>
                <w:rFonts w:ascii="Times New Roman" w:hAnsi="Times New Roman" w:cs="Times New Roman"/>
                <w:b/>
                <w:sz w:val="14"/>
                <w:szCs w:val="14"/>
              </w:rPr>
              <w:fldChar w:fldCharType="separate"/>
            </w:r>
            <w:r w:rsidR="000F3068">
              <w:rPr>
                <w:rFonts w:ascii="Times New Roman" w:hAnsi="Times New Roman" w:cs="Times New Roman"/>
                <w:b/>
                <w:noProof/>
                <w:sz w:val="14"/>
                <w:szCs w:val="14"/>
              </w:rPr>
              <w:t>1</w:t>
            </w:r>
            <w:r w:rsidR="00CA5D0F"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CA5D0F"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CA5D0F" w:rsidRPr="001E38D0">
              <w:rPr>
                <w:rFonts w:ascii="Times New Roman" w:hAnsi="Times New Roman" w:cs="Times New Roman"/>
                <w:b/>
                <w:sz w:val="14"/>
                <w:szCs w:val="14"/>
              </w:rPr>
              <w:fldChar w:fldCharType="separate"/>
            </w:r>
            <w:r w:rsidR="000F3068">
              <w:rPr>
                <w:rFonts w:ascii="Times New Roman" w:hAnsi="Times New Roman" w:cs="Times New Roman"/>
                <w:b/>
                <w:noProof/>
                <w:sz w:val="14"/>
                <w:szCs w:val="14"/>
              </w:rPr>
              <w:t>1</w:t>
            </w:r>
            <w:r w:rsidR="00CA5D0F" w:rsidRPr="001E38D0">
              <w:rPr>
                <w:rFonts w:ascii="Times New Roman" w:hAnsi="Times New Roman" w:cs="Times New Roman"/>
                <w:b/>
                <w:sz w:val="14"/>
                <w:szCs w:val="14"/>
              </w:rPr>
              <w:fldChar w:fldCharType="end"/>
            </w:r>
          </w:p>
          <w:p w:rsidR="00D127F4" w:rsidRPr="001E38D0" w:rsidRDefault="00CA5D0F"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68" w:rsidRDefault="000F30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F4" w:rsidRDefault="00D127F4" w:rsidP="00FE33FD">
      <w:pPr>
        <w:spacing w:after="0" w:line="240" w:lineRule="auto"/>
      </w:pPr>
      <w:r>
        <w:separator/>
      </w:r>
    </w:p>
  </w:footnote>
  <w:footnote w:type="continuationSeparator" w:id="0">
    <w:p w:rsidR="00D127F4" w:rsidRDefault="00D127F4"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68" w:rsidRDefault="000F30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F4" w:rsidRPr="00DB6B9B" w:rsidRDefault="00CA5D0F" w:rsidP="00BB5D0C">
    <w:pPr>
      <w:pStyle w:val="Header"/>
      <w:rPr>
        <w:sz w:val="16"/>
        <w:szCs w:val="16"/>
      </w:rPr>
    </w:pPr>
    <w:r w:rsidRPr="00CA5D0F">
      <w:rPr>
        <w:noProof/>
        <w:lang w:eastAsia="zh-TW"/>
      </w:rPr>
      <w:pict>
        <v:shapetype id="_x0000_t202" coordsize="21600,21600" o:spt="202" path="m,l,21600r21600,l21600,xe">
          <v:stroke joinstyle="miter"/>
          <v:path gradientshapeok="t" o:connecttype="rect"/>
        </v:shapetype>
        <v:shape id="_x0000_s2049" type="#_x0000_t202" style="position:absolute;margin-left:278.25pt;margin-top:0;width:260.75pt;height:54pt;z-index:251660288;mso-width-relative:margin;mso-height-relative:margin" filled="f" stroked="f">
          <v:textbox style="mso-next-textbox:#_x0000_s2049">
            <w:txbxContent>
              <w:p w:rsidR="00D127F4" w:rsidRDefault="002F09E9" w:rsidP="00A2464F">
                <w:pPr>
                  <w:spacing w:after="0" w:line="240" w:lineRule="auto"/>
                  <w:jc w:val="right"/>
                  <w:rPr>
                    <w:rFonts w:ascii="Arial" w:hAnsi="Arial" w:cs="Arial"/>
                    <w:b/>
                    <w:sz w:val="48"/>
                    <w:szCs w:val="48"/>
                  </w:rPr>
                </w:pPr>
                <w:r>
                  <w:rPr>
                    <w:rFonts w:ascii="Arial" w:hAnsi="Arial" w:cs="Arial"/>
                    <w:b/>
                    <w:sz w:val="48"/>
                    <w:szCs w:val="48"/>
                  </w:rPr>
                  <w:t>WCS</w:t>
                </w:r>
                <w:r w:rsidR="00D127F4">
                  <w:rPr>
                    <w:rFonts w:ascii="Arial" w:hAnsi="Arial" w:cs="Arial"/>
                    <w:b/>
                    <w:sz w:val="48"/>
                    <w:szCs w:val="48"/>
                  </w:rPr>
                  <w:t xml:space="preserve"> Series</w:t>
                </w:r>
              </w:p>
              <w:p w:rsidR="00D127F4" w:rsidRPr="00A2464F" w:rsidRDefault="00D127F4"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0F3068">
      <w:rPr>
        <w:noProof/>
      </w:rPr>
      <w:drawing>
        <wp:inline distT="0" distB="0" distL="0" distR="0">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Pr="00CA5D0F">
      <w:rPr>
        <w:sz w:val="16"/>
        <w:szCs w:val="16"/>
      </w:rPr>
      <w:pict>
        <v:rect id="_x0000_i1025" style="width:540pt;height:.5pt" o:hralign="center" o:hrstd="t" o:hrnoshade="t" o:hr="t" fillcolor="red" stroked="f"/>
      </w:pict>
    </w:r>
  </w:p>
  <w:p w:rsidR="00D127F4" w:rsidRDefault="00CA5D0F" w:rsidP="00827310">
    <w:pPr>
      <w:pStyle w:val="Header"/>
      <w:spacing w:line="50" w:lineRule="exact"/>
    </w:pPr>
    <w:r w:rsidRPr="00CA5D0F">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68" w:rsidRDefault="000F30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65744"/>
    <w:rsid w:val="000C70B3"/>
    <w:rsid w:val="000F190A"/>
    <w:rsid w:val="000F3068"/>
    <w:rsid w:val="001E38D0"/>
    <w:rsid w:val="00225619"/>
    <w:rsid w:val="002626AC"/>
    <w:rsid w:val="0027106B"/>
    <w:rsid w:val="002D7D70"/>
    <w:rsid w:val="002F09E9"/>
    <w:rsid w:val="002F5A9A"/>
    <w:rsid w:val="003162FB"/>
    <w:rsid w:val="00370AC7"/>
    <w:rsid w:val="0039645F"/>
    <w:rsid w:val="004104E6"/>
    <w:rsid w:val="0042488C"/>
    <w:rsid w:val="00433402"/>
    <w:rsid w:val="004621B9"/>
    <w:rsid w:val="00474990"/>
    <w:rsid w:val="004D27B0"/>
    <w:rsid w:val="00577E69"/>
    <w:rsid w:val="005A6B89"/>
    <w:rsid w:val="005B512E"/>
    <w:rsid w:val="005C14AA"/>
    <w:rsid w:val="0062070E"/>
    <w:rsid w:val="00647B49"/>
    <w:rsid w:val="00665383"/>
    <w:rsid w:val="006924F3"/>
    <w:rsid w:val="00693C72"/>
    <w:rsid w:val="006A40E6"/>
    <w:rsid w:val="006B0267"/>
    <w:rsid w:val="006D0C13"/>
    <w:rsid w:val="007872A1"/>
    <w:rsid w:val="008137BF"/>
    <w:rsid w:val="00827310"/>
    <w:rsid w:val="00834E4A"/>
    <w:rsid w:val="008479E8"/>
    <w:rsid w:val="0089115B"/>
    <w:rsid w:val="008B5663"/>
    <w:rsid w:val="008D1525"/>
    <w:rsid w:val="008F30AF"/>
    <w:rsid w:val="00963039"/>
    <w:rsid w:val="00995043"/>
    <w:rsid w:val="009A62A3"/>
    <w:rsid w:val="009B10C8"/>
    <w:rsid w:val="009B504B"/>
    <w:rsid w:val="009C2DCC"/>
    <w:rsid w:val="009E381E"/>
    <w:rsid w:val="00A2464F"/>
    <w:rsid w:val="00A61A73"/>
    <w:rsid w:val="00A675E8"/>
    <w:rsid w:val="00AA1224"/>
    <w:rsid w:val="00B82E57"/>
    <w:rsid w:val="00BA3452"/>
    <w:rsid w:val="00BB5D0C"/>
    <w:rsid w:val="00C742CA"/>
    <w:rsid w:val="00C96E7E"/>
    <w:rsid w:val="00CA5D0F"/>
    <w:rsid w:val="00CA7224"/>
    <w:rsid w:val="00D01FAE"/>
    <w:rsid w:val="00D11E21"/>
    <w:rsid w:val="00D127F4"/>
    <w:rsid w:val="00D16584"/>
    <w:rsid w:val="00D25541"/>
    <w:rsid w:val="00D3380E"/>
    <w:rsid w:val="00D523F2"/>
    <w:rsid w:val="00DA588B"/>
    <w:rsid w:val="00DA59BB"/>
    <w:rsid w:val="00DB6B9B"/>
    <w:rsid w:val="00E1469B"/>
    <w:rsid w:val="00E552C0"/>
    <w:rsid w:val="00E6139E"/>
    <w:rsid w:val="00EC1985"/>
    <w:rsid w:val="00ED14DD"/>
    <w:rsid w:val="00F96F07"/>
    <w:rsid w:val="00FC53EE"/>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9E917-C768-4D6B-A32B-CEC075A6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8</cp:revision>
  <cp:lastPrinted>2016-11-15T20:34:00Z</cp:lastPrinted>
  <dcterms:created xsi:type="dcterms:W3CDTF">2016-11-23T16:55:00Z</dcterms:created>
  <dcterms:modified xsi:type="dcterms:W3CDTF">2017-04-25T21:15:00Z</dcterms:modified>
</cp:coreProperties>
</file>